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Lê Minh Trí.</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Lê Minh Trí</w:t>
      </w:r>
      <w:r>
        <w:rPr>
          <w:rFonts w:ascii="Times New Roman" w:hAnsi="Times New Roman" w:eastAsia="Times New Roman" w:cs="Times New Roman"/>
          <w:sz w:val="21"/>
          <w:szCs w:val="21"/>
        </w:rPr>
        <w:t xml:space="preserve">.  Năm sinh: 15/10/1991.</w:t>
      </w:r>
    </w:p>
    <w:p>
      <w:pPr/>
      <w:r>
        <w:rPr>
          <w:rFonts w:ascii="Times New Roman" w:hAnsi="Times New Roman" w:eastAsia="Times New Roman" w:cs="Times New Roman"/>
          <w:sz w:val="21"/>
          <w:szCs w:val="21"/>
        </w:rPr>
        <w:t xml:space="preserve">CMND số: 052091007926, Ngày cấp: ............. Nơi cấp: </w:t>
      </w:r>
    </w:p>
    <w:p>
      <w:pPr/>
      <w:r>
        <w:rPr>
          <w:rFonts w:ascii="Times New Roman" w:hAnsi="Times New Roman" w:eastAsia="Times New Roman" w:cs="Times New Roman"/>
          <w:sz w:val="21"/>
          <w:szCs w:val="21"/>
        </w:rPr>
        <w:t xml:space="preserve">Địa chỉ: 299 Ngô Gia Tự, Bình Định, Thị xã An Nhơn, Bình Định</w:t>
      </w:r>
    </w:p>
    <w:p>
      <w:pPr/>
      <w:r>
        <w:rPr>
          <w:rFonts w:ascii="Times New Roman" w:hAnsi="Times New Roman" w:eastAsia="Times New Roman" w:cs="Times New Roman"/>
          <w:sz w:val="21"/>
          <w:szCs w:val="21"/>
        </w:rPr>
        <w:t xml:space="preserve">Điện thoại: 0775363539</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BT105. Tổng diện tích sử dụng: 20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15 tháng 5 năm 2026 đến hết ngày 14 tháng 5 năm 2027</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4.200.000 đồng/tháng.</w:t>
      </w:r>
    </w:p>
    <w:p>
      <w:pPr>
        <w:jc w:val="both"/>
      </w:pPr>
      <w:r>
        <w:rPr>
          <w:rFonts w:ascii="Times New Roman" w:hAnsi="Times New Roman" w:eastAsia="Times New Roman" w:cs="Times New Roman"/>
          <w:sz w:val="21"/>
          <w:szCs w:val="21"/>
        </w:rPr>
        <w:t xml:space="preserve">(Bằng chữ: bốn triệu hai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4.200.000đ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Bốn triệu hai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2026-05-18T23:04:49+07:00</dcterms:created>
  <dcterms:modified xsi:type="dcterms:W3CDTF">2026-05-18T23:04:49+07:00</dcterms:modified>
</cp:coreProperties>
</file>

<file path=docProps/custom.xml><?xml version="1.0" encoding="utf-8"?>
<Properties xmlns="http://schemas.openxmlformats.org/officeDocument/2006/custom-properties" xmlns:vt="http://schemas.openxmlformats.org/officeDocument/2006/docPropsVTypes"/>
</file>